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78" w:rsidRDefault="001350A5">
      <w:pPr>
        <w:spacing w:before="6"/>
        <w:ind w:left="1569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國立屏東大學招生委員會設置要點</w:t>
      </w:r>
    </w:p>
    <w:p w:rsidR="00F07778" w:rsidRDefault="00F07778">
      <w:pPr>
        <w:spacing w:before="2"/>
        <w:rPr>
          <w:rFonts w:ascii="標楷體" w:eastAsia="標楷體" w:hAnsi="標楷體" w:cs="標楷體"/>
          <w:b/>
          <w:bCs/>
          <w:sz w:val="35"/>
          <w:szCs w:val="35"/>
          <w:lang w:eastAsia="zh-TW"/>
        </w:rPr>
      </w:pPr>
    </w:p>
    <w:p w:rsidR="00F07778" w:rsidRDefault="001350A5">
      <w:pPr>
        <w:ind w:right="118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103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5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9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11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日本校第</w:t>
      </w:r>
      <w:r>
        <w:rPr>
          <w:rFonts w:ascii="標楷體" w:eastAsia="標楷體" w:hAnsi="標楷體" w:cs="標楷體"/>
          <w:spacing w:val="-5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次行政會議通過</w:t>
      </w:r>
    </w:p>
    <w:p w:rsidR="00F07778" w:rsidRDefault="001350A5">
      <w:pPr>
        <w:spacing w:line="260" w:lineRule="exact"/>
        <w:ind w:right="118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教育部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104</w:t>
      </w:r>
      <w:r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28</w:t>
      </w:r>
      <w:r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20"/>
          <w:szCs w:val="20"/>
          <w:lang w:eastAsia="zh-TW"/>
        </w:rPr>
        <w:t>教高</w:t>
      </w:r>
      <w:r>
        <w:rPr>
          <w:rFonts w:ascii="標楷體" w:eastAsia="標楷體" w:hAnsi="標楷體" w:cs="標楷體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字第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1040054206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號函同意備查</w:t>
      </w:r>
    </w:p>
    <w:p w:rsidR="00F07778" w:rsidRDefault="001350A5">
      <w:pPr>
        <w:spacing w:line="259" w:lineRule="exact"/>
        <w:ind w:right="118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104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5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10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8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日本校第</w:t>
      </w:r>
      <w:r>
        <w:rPr>
          <w:rFonts w:ascii="標楷體" w:eastAsia="標楷體" w:hAnsi="標楷體" w:cs="標楷體"/>
          <w:spacing w:val="-5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12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次行政會議通過</w:t>
      </w:r>
    </w:p>
    <w:p w:rsidR="00F07778" w:rsidRDefault="001350A5">
      <w:pPr>
        <w:spacing w:line="260" w:lineRule="exact"/>
        <w:ind w:right="118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教育部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104</w:t>
      </w:r>
      <w:r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11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20"/>
          <w:szCs w:val="20"/>
          <w:lang w:eastAsia="zh-TW"/>
        </w:rPr>
        <w:t>教高</w:t>
      </w:r>
      <w:r>
        <w:rPr>
          <w:rFonts w:ascii="標楷體" w:eastAsia="標楷體" w:hAnsi="標楷體" w:cs="標楷體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字第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1040148859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號函同意備查</w:t>
      </w:r>
    </w:p>
    <w:p w:rsidR="00F07778" w:rsidRDefault="001350A5">
      <w:pPr>
        <w:spacing w:line="260" w:lineRule="exact"/>
        <w:ind w:right="118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105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5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2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18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日本校第</w:t>
      </w:r>
      <w:r>
        <w:rPr>
          <w:rFonts w:ascii="標楷體" w:eastAsia="標楷體" w:hAnsi="標楷體" w:cs="標楷體"/>
          <w:spacing w:val="-5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9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次主管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會報暨第</w:t>
      </w:r>
      <w:proofErr w:type="gramEnd"/>
      <w:r>
        <w:rPr>
          <w:rFonts w:ascii="標楷體" w:eastAsia="標楷體" w:hAnsi="標楷體" w:cs="標楷體"/>
          <w:spacing w:val="-5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16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次政會議</w:t>
      </w:r>
      <w:proofErr w:type="gramEnd"/>
      <w:r>
        <w:rPr>
          <w:rFonts w:ascii="標楷體" w:eastAsia="標楷體" w:hAnsi="標楷體" w:cs="標楷體"/>
          <w:sz w:val="20"/>
          <w:szCs w:val="20"/>
          <w:lang w:eastAsia="zh-TW"/>
        </w:rPr>
        <w:t>修正通過</w:t>
      </w:r>
    </w:p>
    <w:p w:rsidR="001350A5" w:rsidRDefault="001350A5">
      <w:pPr>
        <w:spacing w:line="355" w:lineRule="auto"/>
        <w:ind w:left="120" w:right="113" w:firstLine="2606"/>
        <w:jc w:val="right"/>
        <w:rPr>
          <w:rFonts w:ascii="標楷體" w:eastAsia="標楷體" w:hAnsi="標楷體" w:cs="標楷體"/>
          <w:spacing w:val="24"/>
          <w:w w:val="99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教育部</w:t>
      </w:r>
      <w:r>
        <w:rPr>
          <w:rFonts w:ascii="標楷體" w:eastAsia="標楷體" w:hAnsi="標楷體" w:cs="標楷體"/>
          <w:spacing w:val="-5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105</w:t>
      </w:r>
      <w:r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6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20"/>
          <w:szCs w:val="20"/>
          <w:lang w:eastAsia="zh-TW"/>
        </w:rPr>
        <w:t>教高</w:t>
      </w:r>
      <w:r>
        <w:rPr>
          <w:rFonts w:ascii="標楷體" w:eastAsia="標楷體" w:hAnsi="標楷體" w:cs="標楷體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字第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1050046679</w:t>
      </w:r>
      <w:r>
        <w:rPr>
          <w:rFonts w:ascii="標楷體" w:eastAsia="標楷體" w:hAnsi="標楷體" w:cs="標楷體"/>
          <w:spacing w:val="-5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號函同意備查</w:t>
      </w:r>
      <w:r>
        <w:rPr>
          <w:rFonts w:ascii="標楷體" w:eastAsia="標楷體" w:hAnsi="標楷體" w:cs="標楷體"/>
          <w:spacing w:val="24"/>
          <w:w w:val="99"/>
          <w:sz w:val="20"/>
          <w:szCs w:val="20"/>
          <w:lang w:eastAsia="zh-TW"/>
        </w:rPr>
        <w:t xml:space="preserve"> </w:t>
      </w:r>
    </w:p>
    <w:p w:rsidR="001350A5" w:rsidRP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一、本校為妥善辦理博士班、碩士班、日間學士班、日間學士班轉學招生、學士</w:t>
      </w:r>
      <w:r w:rsidRPr="001350A5">
        <w:rPr>
          <w:rFonts w:ascii="標楷體" w:eastAsia="標楷體" w:hAnsi="標楷體" w:cs="標楷體"/>
          <w:spacing w:val="25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2"/>
          <w:w w:val="95"/>
          <w:sz w:val="24"/>
          <w:szCs w:val="24"/>
          <w:lang w:eastAsia="zh-TW"/>
        </w:rPr>
        <w:t>後第二專長學士學位學程、重點運動項目績優學生單獨招生、</w:t>
      </w:r>
      <w:proofErr w:type="gramStart"/>
      <w:r w:rsidRPr="001350A5">
        <w:rPr>
          <w:rFonts w:ascii="標楷體" w:eastAsia="標楷體" w:hAnsi="標楷體" w:cs="標楷體"/>
          <w:spacing w:val="-2"/>
          <w:w w:val="95"/>
          <w:sz w:val="24"/>
          <w:szCs w:val="24"/>
          <w:lang w:eastAsia="zh-TW"/>
        </w:rPr>
        <w:t>原住民族專班</w:t>
      </w:r>
      <w:proofErr w:type="gramEnd"/>
      <w:r w:rsidRPr="001350A5"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2"/>
          <w:w w:val="95"/>
          <w:sz w:val="24"/>
          <w:szCs w:val="24"/>
          <w:lang w:eastAsia="zh-TW"/>
        </w:rPr>
        <w:t>等各項招生及其試</w:t>
      </w:r>
      <w:proofErr w:type="gramStart"/>
      <w:r w:rsidRPr="001350A5">
        <w:rPr>
          <w:rFonts w:ascii="標楷體" w:eastAsia="標楷體" w:hAnsi="標楷體" w:cs="標楷體"/>
          <w:spacing w:val="-2"/>
          <w:w w:val="95"/>
          <w:sz w:val="24"/>
          <w:szCs w:val="24"/>
          <w:lang w:eastAsia="zh-TW"/>
        </w:rPr>
        <w:t>務</w:t>
      </w:r>
      <w:proofErr w:type="gramEnd"/>
      <w:r w:rsidRPr="001350A5">
        <w:rPr>
          <w:rFonts w:ascii="標楷體" w:eastAsia="標楷體" w:hAnsi="標楷體" w:cs="標楷體"/>
          <w:spacing w:val="-2"/>
          <w:w w:val="95"/>
          <w:sz w:val="24"/>
          <w:szCs w:val="24"/>
          <w:lang w:eastAsia="zh-TW"/>
        </w:rPr>
        <w:t>工作，特依據大學法第二十四條、本校組織規程第三十</w:t>
      </w:r>
      <w:r w:rsidRPr="001350A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一條規定，訂定招生委員會（以下簡稱本委員會）設置要點</w:t>
      </w:r>
      <w:r w:rsidRPr="001350A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 w:rsidRPr="001350A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以下簡稱本要</w:t>
      </w:r>
      <w:r w:rsidRPr="001350A5">
        <w:rPr>
          <w:rFonts w:ascii="標楷體" w:eastAsia="標楷體" w:hAnsi="標楷體"/>
          <w:lang w:eastAsia="zh-TW"/>
        </w:rPr>
        <w:t>點</w:t>
      </w:r>
      <w:r w:rsidRPr="001350A5">
        <w:rPr>
          <w:rFonts w:ascii="標楷體" w:eastAsia="標楷體" w:hAnsi="標楷體" w:cs="標楷體"/>
          <w:lang w:eastAsia="zh-TW"/>
        </w:rPr>
        <w:t>)</w:t>
      </w:r>
      <w:r w:rsidRPr="001350A5">
        <w:rPr>
          <w:rFonts w:ascii="標楷體" w:eastAsia="標楷體" w:hAnsi="標楷體"/>
          <w:lang w:eastAsia="zh-TW"/>
        </w:rPr>
        <w:t>。</w:t>
      </w:r>
      <w:r w:rsidRPr="001350A5">
        <w:rPr>
          <w:rFonts w:ascii="標楷體" w:eastAsia="標楷體" w:hAnsi="標楷體"/>
          <w:lang w:eastAsia="zh-TW"/>
        </w:rPr>
        <w:t xml:space="preserve"> </w:t>
      </w:r>
    </w:p>
    <w:p w:rsid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二、本委員會辦理前點各項招生試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務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工作，秉持公開、公平、公正之原則辦理招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生事務，並處理招生相關緊急事項。</w:t>
      </w:r>
    </w:p>
    <w:p w:rsid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三、本委員會由當然委員及業務關連委員組成，校長、副校長、學生事務處、總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務處、國際事務處、進修推廣處、秘書室、人事室、主計室、計算機與網路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中心、各學院等單位主管暨教務處正、副主管為當然委員；另與當次招生業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務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有關之所、系主管為業務關連委員。</w:t>
      </w:r>
    </w:p>
    <w:p w:rsidR="00F07778" w:rsidRPr="001350A5" w:rsidRDefault="001350A5" w:rsidP="001350A5">
      <w:pPr>
        <w:spacing w:line="355" w:lineRule="auto"/>
        <w:ind w:leftChars="193" w:left="425" w:right="23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本委員會設主任委員一人，由校長擔任之，綜理會務，並負責召開會議；設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總幹事一人，由教務長擔任，統籌分派各項招生業務；委員任期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一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學年，以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學年度為期限，擔任行政職務者同職務進退。另設幹事若干人，由教務處各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組、各中心單位主管擔任之。</w:t>
      </w:r>
    </w:p>
    <w:p w:rsidR="001350A5" w:rsidRDefault="001350A5" w:rsidP="001350A5">
      <w:pPr>
        <w:spacing w:line="355" w:lineRule="auto"/>
        <w:ind w:leftChars="193" w:left="425" w:right="23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本委員會必要時得邀請相關人員列席。</w:t>
      </w:r>
    </w:p>
    <w:p w:rsidR="00F07778" w:rsidRP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四、本委員會開會時，由主任委員擔任主席，主任委員因事不能出席時，應指定</w:t>
      </w:r>
    </w:p>
    <w:p w:rsidR="00F07778" w:rsidRPr="001350A5" w:rsidRDefault="001350A5" w:rsidP="001350A5">
      <w:pPr>
        <w:spacing w:line="355" w:lineRule="auto"/>
        <w:ind w:leftChars="193" w:left="425" w:right="23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委員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一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人為代理主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席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。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本委員會須有全體委員二分之一以上出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席，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始得開會，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應有出席委員過半數之同意，始得決議。</w:t>
      </w:r>
    </w:p>
    <w:p w:rsid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五、本委員會開會時依據招生類別，得請教務處各組組長列席會議。</w:t>
      </w:r>
    </w:p>
    <w:p w:rsidR="00F07778" w:rsidRP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六、本委員會審議第一點各項招生試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務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，其職掌如下：</w:t>
      </w:r>
    </w:p>
    <w:p w:rsidR="00F07778" w:rsidRPr="001350A5" w:rsidRDefault="001350A5" w:rsidP="001350A5">
      <w:pPr>
        <w:spacing w:line="355" w:lineRule="auto"/>
        <w:ind w:leftChars="257" w:left="1134" w:right="23" w:hangingChars="240" w:hanging="56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(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一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)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審議各項招生名額、招生規定、招生簡章、考試違規、招生糾紛及有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關招生之相關法規與作業要點。</w:t>
      </w:r>
    </w:p>
    <w:p w:rsidR="00F07778" w:rsidRPr="001350A5" w:rsidRDefault="001350A5" w:rsidP="001350A5">
      <w:pPr>
        <w:spacing w:line="355" w:lineRule="auto"/>
        <w:ind w:leftChars="257" w:left="1134" w:right="23" w:hangingChars="240" w:hanging="56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(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二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)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審議各項招生工作事項及重要招生日程。</w:t>
      </w:r>
    </w:p>
    <w:p w:rsidR="00F07778" w:rsidRPr="001350A5" w:rsidRDefault="00F07778" w:rsidP="001350A5">
      <w:pPr>
        <w:spacing w:line="355" w:lineRule="auto"/>
        <w:ind w:leftChars="257" w:left="1134" w:right="23" w:hangingChars="240" w:hanging="569"/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sectPr w:rsidR="00F07778" w:rsidRPr="001350A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07778" w:rsidRPr="001350A5" w:rsidRDefault="001350A5" w:rsidP="001350A5">
      <w:pPr>
        <w:spacing w:line="355" w:lineRule="auto"/>
        <w:ind w:leftChars="257" w:left="1134" w:right="23" w:hangingChars="240" w:hanging="56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lastRenderedPageBreak/>
        <w:t>(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三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)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審議各項甄選標準、錄取標準、錄取方式及錄取名單等。</w:t>
      </w:r>
    </w:p>
    <w:p w:rsidR="00F07778" w:rsidRPr="001350A5" w:rsidRDefault="001350A5" w:rsidP="001350A5">
      <w:pPr>
        <w:spacing w:line="355" w:lineRule="auto"/>
        <w:ind w:leftChars="257" w:left="1134" w:right="23" w:hangingChars="240" w:hanging="56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(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四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)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審議其他有關各項招生之重大相關事項。</w:t>
      </w:r>
    </w:p>
    <w:p w:rsidR="00F07778" w:rsidRPr="001350A5" w:rsidRDefault="001350A5" w:rsidP="001350A5">
      <w:pPr>
        <w:spacing w:line="355" w:lineRule="auto"/>
        <w:ind w:leftChars="257" w:left="1134" w:right="23" w:hangingChars="240" w:hanging="56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(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五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)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審議招生經費之規劃運用。</w:t>
      </w:r>
    </w:p>
    <w:p w:rsidR="001350A5" w:rsidRDefault="001350A5" w:rsidP="001350A5">
      <w:pPr>
        <w:spacing w:line="355" w:lineRule="auto"/>
        <w:ind w:leftChars="257" w:left="1134" w:right="23" w:hangingChars="240" w:hanging="56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(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六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)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負責策劃及執行招生制度之研發工作。</w:t>
      </w:r>
    </w:p>
    <w:p w:rsidR="00F07778" w:rsidRP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七、各系級招生單位應設所、系、學位學程招生委員會，由各該系級單位主管及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其該單位專任（案）教師代表組成之，單位主管為召集人，必要時得聘專家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學者及有關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人士為系級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招生委員出席討論，審議招生考試相關事宜。各系級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招生委員會設置要點另定之，並送本委員會備查。</w:t>
      </w:r>
    </w:p>
    <w:p w:rsidR="00F07778" w:rsidRP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八、本委員會及各系級招生委員會委員，若有三親等以內之親屬報考時，應行</w:t>
      </w:r>
      <w:proofErr w:type="gramStart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迴</w:t>
      </w:r>
      <w:proofErr w:type="gramEnd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避參與相關招生業務。</w:t>
      </w:r>
    </w:p>
    <w:p w:rsidR="00F07778" w:rsidRP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九、本委員會辦理招生作業經費收支預算與執行，應依據會計作業相關規定辦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理。</w:t>
      </w:r>
    </w:p>
    <w:p w:rsidR="00F07778" w:rsidRPr="001350A5" w:rsidRDefault="001350A5" w:rsidP="001350A5">
      <w:pPr>
        <w:spacing w:line="355" w:lineRule="auto"/>
        <w:ind w:left="460" w:right="23" w:hangingChars="194" w:hanging="460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十、本委員會視招生工作需要召開招生委員會議，以訂定招生規定、審議各所、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系、學位學程招生事項、編訂招生簡章、監督招生工作之進行暨審議各所、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系、學位學程最低錄取標準及錄取名單，並處理招生爭端及違規事項等。</w:t>
      </w:r>
    </w:p>
    <w:p w:rsidR="001350A5" w:rsidRDefault="001350A5" w:rsidP="001350A5">
      <w:pPr>
        <w:spacing w:line="355" w:lineRule="auto"/>
        <w:ind w:left="709" w:right="23" w:hangingChars="299" w:hanging="70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十一、本要點如有未盡事宜，悉依大學法及相關法規辦理。</w:t>
      </w:r>
    </w:p>
    <w:p w:rsidR="00F07778" w:rsidRPr="001350A5" w:rsidRDefault="001350A5" w:rsidP="001350A5">
      <w:pPr>
        <w:spacing w:line="355" w:lineRule="auto"/>
        <w:ind w:left="709" w:right="23" w:hangingChars="299" w:hanging="709"/>
        <w:rPr>
          <w:rFonts w:ascii="標楷體" w:eastAsia="標楷體" w:hAnsi="標楷體" w:cs="標楷體"/>
          <w:spacing w:val="-3"/>
          <w:sz w:val="24"/>
          <w:szCs w:val="24"/>
          <w:lang w:eastAsia="zh-TW"/>
        </w:rPr>
      </w:pPr>
      <w:bookmarkStart w:id="0" w:name="_GoBack"/>
      <w:bookmarkEnd w:id="0"/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十二、本要點經行政會議通過，陳請校長核定，並報請教育部備查後公布實施；</w:t>
      </w:r>
      <w:r w:rsidRPr="001350A5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修正時亦同。</w:t>
      </w:r>
    </w:p>
    <w:sectPr w:rsidR="00F07778" w:rsidRPr="001350A5">
      <w:pgSz w:w="11910" w:h="16840"/>
      <w:pgMar w:top="152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07778"/>
    <w:rsid w:val="001350A5"/>
    <w:rsid w:val="00F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283A6-76AC-40B5-8759-E4B959B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秘書室葉木水</dc:creator>
  <cp:lastModifiedBy>user</cp:lastModifiedBy>
  <cp:revision>2</cp:revision>
  <dcterms:created xsi:type="dcterms:W3CDTF">2017-08-17T13:36:00Z</dcterms:created>
  <dcterms:modified xsi:type="dcterms:W3CDTF">2017-08-17T05:42:00Z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2017-08-17T00:00:00Z</vt:filetime>
  </property>
</Properties>
</file>